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center"/>
        <w:rPr>
          <w:sz w:val="27"/>
          <w:szCs w:val="27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Osztályozó vizsga tételek </w:t>
      </w:r>
      <w:bookmarkStart w:colFirst="0" w:colLast="0" w:name="bookmark=kix.bne4llsk1ina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Katolikus hit- és erkölcstan - Dogmatika</w:t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11. évfolyam 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teológia és a dogmatika viszonya. A dogmatika 2 fő ága.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Isten lényegi tulajdonságai </w:t>
        <w:br w:type="textWrapping"/>
        <w:t xml:space="preserve">(világfeletti, változhatatlan, mindenütt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jelenvaló, örökkévaló)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Szentháromság titka </w:t>
        <w:br w:type="textWrapping"/>
        <w:t xml:space="preserve">(Isten atyasága, messiási ígéretek, </w:t>
      </w:r>
      <w:r w:rsidDel="00000000" w:rsidR="00000000" w:rsidRPr="00000000">
        <w:rPr>
          <w:sz w:val="24"/>
          <w:szCs w:val="24"/>
          <w:rtl w:val="0"/>
        </w:rPr>
        <w:t xml:space="preserve">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Szentlélekre utaló ószövetségi megnyilatkozások)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Angyalok és démonok </w:t>
        <w:br w:type="textWrapping"/>
        <w:t xml:space="preserve">(asszír, babiloni, egyiptomi, ószövetségi és újszövetségi iratokban)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Az áteredő bűn és következményei </w:t>
        <w:br w:type="textWrapping"/>
        <w:t xml:space="preserve">(A Teremtés könyvének etiológiája és Szent Pál apostol Ádám-Krisztus párhuzama)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Az üdvösség ószövetségi tapasztalatai és reményei.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sten üdvösséghozó cselekvésének emberi közvetítője</w:t>
        <w:br w:type="textWrapping"/>
        <w:t xml:space="preserve">(A közvetítés funkciója Izraelben, Prófétai-messiási várakozások Izajás próféta könyvében).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Isten üdvösséghozó cselekvésének emberi közvetítője (Ebed-Jahve, Az Emberfia).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Szűz Mária kegyelmi adományai (Immaculata, Theotokosz, Assumpta, Aeiparthenosz).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bookmarkStart w:colFirst="0" w:colLast="0" w:name="_heading=h.gjdgxs" w:id="1"/>
      <w:bookmarkEnd w:id="1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Liturgia (elnevezésének gyökere, lényege és a liturgia ünneplésének érzékelhető jelei)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u-H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L4XWzMY0Nx8YCMdlZGYlMy4IPA==">CgMxLjAyEGtpeC5ibmU0bGxzazFpbmEyCGguZ2pkZ3hzOAByITF1aXdKcWVoOF9sQ2hjd0s4TWR0cW44MkhWWU9yc0I1bw==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